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5E0" w:rsidRDefault="007015E0" w:rsidP="007015E0">
      <w:pPr>
        <w:pStyle w:val="Heading2"/>
        <w:numPr>
          <w:ilvl w:val="0"/>
          <w:numId w:val="0"/>
        </w:numPr>
        <w:spacing w:before="0" w:after="120"/>
        <w:ind w:left="576" w:hanging="576"/>
        <w:contextualSpacing/>
        <w:jc w:val="both"/>
        <w:rPr>
          <w:rFonts w:ascii="Calibri" w:eastAsia="Times New Roman" w:hAnsi="Calibri" w:cs="Calibri"/>
          <w:b/>
          <w:bCs/>
          <w:color w:val="auto"/>
          <w:sz w:val="24"/>
          <w:szCs w:val="24"/>
        </w:rPr>
      </w:pPr>
      <w:r>
        <w:rPr>
          <w:rFonts w:ascii="Calibri" w:eastAsia="Times New Roman" w:hAnsi="Calibri" w:cs="Calibri"/>
          <w:b/>
          <w:bCs/>
          <w:color w:val="auto"/>
          <w:sz w:val="24"/>
          <w:szCs w:val="24"/>
        </w:rPr>
        <w:t>Publications</w:t>
      </w:r>
    </w:p>
    <w:p w:rsidR="007015E0" w:rsidRDefault="007015E0" w:rsidP="007015E0">
      <w:pPr>
        <w:jc w:val="both"/>
        <w:rPr>
          <w:sz w:val="24"/>
          <w:szCs w:val="24"/>
        </w:rPr>
      </w:pPr>
      <w:r>
        <w:t>Publication includes the following: manuscripts, abstracts, press releases, statistical tables, algorithms, programs, statistical or mathematical models and tools.</w:t>
      </w:r>
    </w:p>
    <w:p w:rsidR="007015E0" w:rsidRDefault="007015E0" w:rsidP="007015E0">
      <w:pPr>
        <w:jc w:val="both"/>
      </w:pPr>
    </w:p>
    <w:p w:rsidR="007015E0" w:rsidRDefault="007015E0" w:rsidP="007015E0">
      <w:pPr>
        <w:jc w:val="both"/>
      </w:pPr>
      <w:r>
        <w:t>To comply with DSAs (see PHC_SOP_IG208_Publications Guidance) researchers will ensure that all publications:</w:t>
      </w:r>
    </w:p>
    <w:p w:rsidR="007015E0" w:rsidRDefault="007015E0" w:rsidP="007015E0">
      <w:pPr>
        <w:numPr>
          <w:ilvl w:val="0"/>
          <w:numId w:val="2"/>
        </w:numPr>
        <w:jc w:val="both"/>
        <w:rPr>
          <w:rFonts w:eastAsia="Times New Roman"/>
          <w:color w:val="000000"/>
        </w:rPr>
      </w:pPr>
      <w:r>
        <w:rPr>
          <w:rFonts w:eastAsia="Times New Roman"/>
        </w:rPr>
        <w:t>are made fully and freely available within 12 months of completion of the project;</w:t>
      </w:r>
    </w:p>
    <w:p w:rsidR="007015E0" w:rsidRDefault="007015E0" w:rsidP="007015E0">
      <w:pPr>
        <w:numPr>
          <w:ilvl w:val="0"/>
          <w:numId w:val="2"/>
        </w:numPr>
        <w:jc w:val="both"/>
        <w:rPr>
          <w:rFonts w:eastAsia="Times New Roman"/>
        </w:rPr>
      </w:pPr>
      <w:r>
        <w:rPr>
          <w:rFonts w:eastAsia="Times New Roman"/>
        </w:rPr>
        <w:t>do not identify individuals, GP practices, CCGs or ICSs;</w:t>
      </w:r>
    </w:p>
    <w:p w:rsidR="007015E0" w:rsidRDefault="007015E0" w:rsidP="007015E0">
      <w:pPr>
        <w:numPr>
          <w:ilvl w:val="0"/>
          <w:numId w:val="2"/>
        </w:numPr>
        <w:jc w:val="both"/>
        <w:rPr>
          <w:rFonts w:eastAsia="Times New Roman"/>
        </w:rPr>
      </w:pPr>
      <w:r>
        <w:rPr>
          <w:rFonts w:eastAsia="Times New Roman"/>
        </w:rPr>
        <w:t xml:space="preserve">suppress any description within texts, graphs or tables for </w:t>
      </w:r>
      <w:r>
        <w:rPr>
          <w:rFonts w:eastAsia="Times New Roman"/>
          <w:u w:val="single"/>
        </w:rPr>
        <w:t>&lt;</w:t>
      </w:r>
      <w:r>
        <w:rPr>
          <w:rFonts w:eastAsia="Times New Roman"/>
        </w:rPr>
        <w:t>5 individuals;</w:t>
      </w:r>
    </w:p>
    <w:p w:rsidR="007015E0" w:rsidRDefault="007015E0" w:rsidP="007015E0">
      <w:pPr>
        <w:numPr>
          <w:ilvl w:val="0"/>
          <w:numId w:val="2"/>
        </w:numPr>
        <w:jc w:val="both"/>
        <w:rPr>
          <w:rFonts w:eastAsia="Times New Roman"/>
          <w:color w:val="000000"/>
        </w:rPr>
      </w:pPr>
      <w:r>
        <w:rPr>
          <w:rFonts w:eastAsia="Times New Roman"/>
          <w:color w:val="000000"/>
        </w:rPr>
        <w:t>acknowledge the University of Oxford and the original sources of the data (including the GP practices and patients)</w:t>
      </w:r>
    </w:p>
    <w:p w:rsidR="007015E0" w:rsidRDefault="007015E0" w:rsidP="007015E0">
      <w:pPr>
        <w:jc w:val="both"/>
        <w:rPr>
          <w:color w:val="000000"/>
        </w:rPr>
      </w:pPr>
      <w:r>
        <w:rPr>
          <w:color w:val="000000"/>
        </w:rPr>
        <w:t xml:space="preserve">All acknowledgements and disclaimers, must be in the following format unless agreed otherwise: </w:t>
      </w:r>
    </w:p>
    <w:p w:rsidR="007015E0" w:rsidRDefault="007015E0" w:rsidP="007015E0">
      <w:pPr>
        <w:jc w:val="both"/>
        <w:rPr>
          <w:color w:val="000000"/>
        </w:rPr>
      </w:pPr>
      <w:r>
        <w:rPr>
          <w:b/>
          <w:bCs/>
          <w:color w:val="000000"/>
        </w:rPr>
        <w:t xml:space="preserve">University of Oxford </w:t>
      </w:r>
      <w:r>
        <w:rPr>
          <w:color w:val="000000"/>
        </w:rPr>
        <w:t>and</w:t>
      </w:r>
      <w:r>
        <w:rPr>
          <w:b/>
          <w:bCs/>
          <w:color w:val="000000"/>
        </w:rPr>
        <w:t xml:space="preserve"> EMIS</w:t>
      </w:r>
      <w:r>
        <w:rPr>
          <w:color w:val="000000"/>
        </w:rPr>
        <w:t xml:space="preserve">: “We acknowledge the contribution of EMIS practices who contribute to QResearch® and EMIS Health and the Chancellor </w:t>
      </w:r>
      <w:proofErr w:type="gramStart"/>
      <w:r>
        <w:rPr>
          <w:color w:val="000000"/>
        </w:rPr>
        <w:t>Masters &amp;</w:t>
      </w:r>
      <w:proofErr w:type="gramEnd"/>
      <w:r>
        <w:rPr>
          <w:color w:val="000000"/>
        </w:rPr>
        <w:t xml:space="preserve"> Scholars of the University of Oxford for expertise in establishing, developing and supporting the QResearch database.”</w:t>
      </w:r>
    </w:p>
    <w:p w:rsidR="007015E0" w:rsidRDefault="007015E0" w:rsidP="007015E0">
      <w:pPr>
        <w:jc w:val="both"/>
        <w:rPr>
          <w:color w:val="000000"/>
        </w:rPr>
      </w:pPr>
      <w:r>
        <w:rPr>
          <w:b/>
          <w:bCs/>
          <w:color w:val="000000"/>
        </w:rPr>
        <w:t>NHS England</w:t>
      </w:r>
      <w:r>
        <w:rPr>
          <w:color w:val="000000"/>
        </w:rPr>
        <w:t>: “The Hospital Episode Statistics data used in this analysis are Copyright © (year), the Health and Social Care Information Centre and re-used with the permission of the Health and Social Care Information Centre [and the University of Oxford]. All rights reserved.</w:t>
      </w:r>
    </w:p>
    <w:p w:rsidR="007015E0" w:rsidRDefault="007015E0" w:rsidP="007015E0">
      <w:pPr>
        <w:jc w:val="both"/>
        <w:rPr>
          <w:color w:val="000000"/>
        </w:rPr>
      </w:pPr>
      <w:r>
        <w:rPr>
          <w:b/>
          <w:bCs/>
          <w:color w:val="000000"/>
        </w:rPr>
        <w:t>PHE</w:t>
      </w:r>
      <w:r>
        <w:rPr>
          <w:color w:val="000000"/>
        </w:rPr>
        <w:t>: “This project involves data derived from patient-level information collected by the NHS, as part of the care and support of cancer patients. The data is collated, maintained and quality assured by the National Cancer Registration and Analysis Service, which is part of Public Health England (PHE). Access to the data was facilitated by the PHE Office for Data Release.”</w:t>
      </w:r>
    </w:p>
    <w:p w:rsidR="007015E0" w:rsidRDefault="007015E0" w:rsidP="007015E0">
      <w:pPr>
        <w:jc w:val="both"/>
        <w:rPr>
          <w:color w:val="000000"/>
        </w:rPr>
      </w:pPr>
      <w:r>
        <w:rPr>
          <w:b/>
          <w:bCs/>
          <w:color w:val="000000"/>
        </w:rPr>
        <w:t>ICNARC</w:t>
      </w:r>
      <w:r>
        <w:rPr>
          <w:color w:val="000000"/>
        </w:rPr>
        <w:t>: “This publication is based on data derived from the Intensive Care National Audit &amp; Research Centre (ICNARC) Case Mix Programme Database. The Case Mix Programme is the national, comparative audit of patient outcomes from adult critical care coordinated by ICNARC. We thank all the staff in the critical care units participating in the Case Mix Programme. For more information on the representativeness and quality of these data, please contact ICNARC. Disclaimer: The views and opinions expressed therein are those of the authors and do not necessarily reflect those of ICNARC.</w:t>
      </w:r>
    </w:p>
    <w:p w:rsidR="007015E0" w:rsidRDefault="007015E0" w:rsidP="007015E0">
      <w:pPr>
        <w:jc w:val="both"/>
        <w:rPr>
          <w:color w:val="000000"/>
        </w:rPr>
      </w:pPr>
      <w:r>
        <w:rPr>
          <w:b/>
          <w:bCs/>
          <w:color w:val="000000"/>
        </w:rPr>
        <w:t>ONS</w:t>
      </w:r>
      <w:r>
        <w:rPr>
          <w:color w:val="000000"/>
        </w:rPr>
        <w:t xml:space="preserve">, </w:t>
      </w:r>
      <w:r>
        <w:rPr>
          <w:b/>
          <w:bCs/>
          <w:color w:val="000000"/>
        </w:rPr>
        <w:t>PHE</w:t>
      </w:r>
      <w:r>
        <w:rPr>
          <w:color w:val="000000"/>
        </w:rPr>
        <w:t xml:space="preserve"> or </w:t>
      </w:r>
      <w:r>
        <w:rPr>
          <w:b/>
          <w:bCs/>
          <w:color w:val="000000"/>
        </w:rPr>
        <w:t>NHS England</w:t>
      </w:r>
      <w:r>
        <w:rPr>
          <w:color w:val="000000"/>
        </w:rPr>
        <w:t>: “[The Office of National Statistics], [Public Health England] and [NHS England] bear no responsibility for the analysis or interpretation of the data.”</w:t>
      </w:r>
    </w:p>
    <w:p w:rsidR="007015E0" w:rsidRDefault="007015E0" w:rsidP="007015E0">
      <w:pPr>
        <w:numPr>
          <w:ilvl w:val="0"/>
          <w:numId w:val="3"/>
        </w:numPr>
        <w:jc w:val="both"/>
        <w:rPr>
          <w:rFonts w:eastAsia="Times New Roman"/>
          <w:color w:val="000000"/>
        </w:rPr>
      </w:pPr>
      <w:r>
        <w:rPr>
          <w:rFonts w:eastAsia="Times New Roman"/>
          <w:color w:val="000000"/>
        </w:rPr>
        <w:t xml:space="preserve">reference the version number of the QResearch database used to create the project dataset and include the trademark: “QRESEARCH® is a registered trademark of </w:t>
      </w:r>
      <w:proofErr w:type="spellStart"/>
      <w:r>
        <w:rPr>
          <w:rFonts w:eastAsia="Times New Roman"/>
          <w:color w:val="000000"/>
        </w:rPr>
        <w:t>Egton</w:t>
      </w:r>
      <w:proofErr w:type="spellEnd"/>
      <w:r>
        <w:rPr>
          <w:rFonts w:eastAsia="Times New Roman"/>
          <w:color w:val="000000"/>
        </w:rPr>
        <w:t xml:space="preserve"> Medical Information Systems Limited and the University of Oxford”</w:t>
      </w:r>
    </w:p>
    <w:p w:rsidR="007015E0" w:rsidRDefault="007015E0" w:rsidP="007015E0">
      <w:pPr>
        <w:numPr>
          <w:ilvl w:val="0"/>
          <w:numId w:val="3"/>
        </w:numPr>
        <w:jc w:val="both"/>
        <w:rPr>
          <w:rFonts w:eastAsia="Times New Roman"/>
          <w:color w:val="000000"/>
        </w:rPr>
      </w:pPr>
      <w:proofErr w:type="gramStart"/>
      <w:r>
        <w:rPr>
          <w:rFonts w:eastAsia="Times New Roman"/>
          <w:color w:val="000000"/>
        </w:rPr>
        <w:t>acknowledge</w:t>
      </w:r>
      <w:proofErr w:type="gramEnd"/>
      <w:r>
        <w:rPr>
          <w:rFonts w:eastAsia="Times New Roman"/>
          <w:color w:val="000000"/>
        </w:rPr>
        <w:t xml:space="preserve"> the intellectual, scientific and professional contribution of all those who contributed to the project through co-authorship in accordance with the International Committee of Medical Journal Editors (ICMJE) </w:t>
      </w:r>
      <w:hyperlink r:id="rId5" w:history="1">
        <w:r>
          <w:rPr>
            <w:rStyle w:val="Hyperlink"/>
            <w:rFonts w:eastAsia="Times New Roman"/>
          </w:rPr>
          <w:t>guidelines</w:t>
        </w:r>
      </w:hyperlink>
      <w:r>
        <w:rPr>
          <w:rFonts w:eastAsia="Times New Roman"/>
          <w:color w:val="000000"/>
        </w:rPr>
        <w:t>.</w:t>
      </w:r>
    </w:p>
    <w:p w:rsidR="00B82ACC" w:rsidRDefault="00B82ACC">
      <w:bookmarkStart w:id="0" w:name="_GoBack"/>
      <w:bookmarkEnd w:id="0"/>
    </w:p>
    <w:sectPr w:rsidR="00B82A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Sterling-Medium">
    <w:panose1 w:val="00000500000000000000"/>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556F5"/>
    <w:multiLevelType w:val="hybridMultilevel"/>
    <w:tmpl w:val="5CBCF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EEA3BE9"/>
    <w:multiLevelType w:val="hybridMultilevel"/>
    <w:tmpl w:val="3C260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E2132CA"/>
    <w:multiLevelType w:val="multilevel"/>
    <w:tmpl w:val="7D42EAB0"/>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rPr>
        <w:b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5E0"/>
    <w:rsid w:val="007015E0"/>
    <w:rsid w:val="00B82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F0C61-C346-4F64-8F76-D4D6A498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oundrySterling-Medium" w:eastAsiaTheme="minorHAnsi" w:hAnsi="FoundrySterling-Medium"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5E0"/>
    <w:pPr>
      <w:spacing w:after="0" w:line="240" w:lineRule="auto"/>
    </w:pPr>
    <w:rPr>
      <w:rFonts w:ascii="Calibri" w:hAnsi="Calibri" w:cs="Calibri"/>
      <w:lang w:eastAsia="en-GB"/>
    </w:rPr>
  </w:style>
  <w:style w:type="paragraph" w:styleId="Heading1">
    <w:name w:val="heading 1"/>
    <w:basedOn w:val="Normal"/>
    <w:link w:val="Heading1Char"/>
    <w:uiPriority w:val="9"/>
    <w:qFormat/>
    <w:rsid w:val="007015E0"/>
    <w:pPr>
      <w:keepNext/>
      <w:numPr>
        <w:numId w:val="1"/>
      </w:numPr>
      <w:spacing w:before="240"/>
      <w:outlineLvl w:val="0"/>
    </w:pPr>
    <w:rPr>
      <w:rFonts w:ascii="Calibri Light" w:hAnsi="Calibri Light" w:cs="Calibri Light"/>
      <w:color w:val="2F5496"/>
      <w:kern w:val="36"/>
      <w:sz w:val="32"/>
      <w:szCs w:val="32"/>
      <w:lang w:eastAsia="en-US"/>
    </w:rPr>
  </w:style>
  <w:style w:type="paragraph" w:styleId="Heading2">
    <w:name w:val="heading 2"/>
    <w:basedOn w:val="Normal"/>
    <w:link w:val="Heading2Char"/>
    <w:uiPriority w:val="9"/>
    <w:semiHidden/>
    <w:unhideWhenUsed/>
    <w:qFormat/>
    <w:rsid w:val="007015E0"/>
    <w:pPr>
      <w:keepNext/>
      <w:numPr>
        <w:ilvl w:val="1"/>
        <w:numId w:val="1"/>
      </w:numPr>
      <w:spacing w:before="40"/>
      <w:outlineLvl w:val="1"/>
    </w:pPr>
    <w:rPr>
      <w:rFonts w:ascii="Calibri Light" w:hAnsi="Calibri Light" w:cs="Calibri Light"/>
      <w:color w:val="2F5496"/>
      <w:sz w:val="26"/>
      <w:szCs w:val="26"/>
      <w:lang w:eastAsia="en-US"/>
    </w:rPr>
  </w:style>
  <w:style w:type="paragraph" w:styleId="Heading3">
    <w:name w:val="heading 3"/>
    <w:basedOn w:val="Normal"/>
    <w:link w:val="Heading3Char"/>
    <w:uiPriority w:val="9"/>
    <w:semiHidden/>
    <w:unhideWhenUsed/>
    <w:qFormat/>
    <w:rsid w:val="007015E0"/>
    <w:pPr>
      <w:keepNext/>
      <w:numPr>
        <w:ilvl w:val="2"/>
        <w:numId w:val="1"/>
      </w:numPr>
      <w:spacing w:before="40"/>
      <w:outlineLvl w:val="2"/>
    </w:pPr>
    <w:rPr>
      <w:rFonts w:ascii="Calibri Light" w:hAnsi="Calibri Light" w:cs="Calibri Light"/>
      <w:color w:val="1F3763"/>
      <w:sz w:val="24"/>
      <w:szCs w:val="24"/>
      <w:lang w:eastAsia="en-US"/>
    </w:rPr>
  </w:style>
  <w:style w:type="paragraph" w:styleId="Heading4">
    <w:name w:val="heading 4"/>
    <w:basedOn w:val="Normal"/>
    <w:link w:val="Heading4Char"/>
    <w:uiPriority w:val="9"/>
    <w:semiHidden/>
    <w:unhideWhenUsed/>
    <w:qFormat/>
    <w:rsid w:val="007015E0"/>
    <w:pPr>
      <w:keepNext/>
      <w:numPr>
        <w:ilvl w:val="3"/>
        <w:numId w:val="1"/>
      </w:numPr>
      <w:spacing w:before="40"/>
      <w:outlineLvl w:val="3"/>
    </w:pPr>
    <w:rPr>
      <w:rFonts w:ascii="Calibri Light" w:hAnsi="Calibri Light" w:cs="Calibri Light"/>
      <w:i/>
      <w:iCs/>
      <w:color w:val="2F5496"/>
      <w:sz w:val="24"/>
      <w:szCs w:val="24"/>
      <w:lang w:eastAsia="en-US"/>
    </w:rPr>
  </w:style>
  <w:style w:type="paragraph" w:styleId="Heading5">
    <w:name w:val="heading 5"/>
    <w:basedOn w:val="Normal"/>
    <w:link w:val="Heading5Char"/>
    <w:uiPriority w:val="9"/>
    <w:semiHidden/>
    <w:unhideWhenUsed/>
    <w:qFormat/>
    <w:rsid w:val="007015E0"/>
    <w:pPr>
      <w:keepNext/>
      <w:numPr>
        <w:ilvl w:val="4"/>
        <w:numId w:val="1"/>
      </w:numPr>
      <w:spacing w:before="40"/>
      <w:outlineLvl w:val="4"/>
    </w:pPr>
    <w:rPr>
      <w:rFonts w:ascii="Calibri Light" w:hAnsi="Calibri Light" w:cs="Calibri Light"/>
      <w:color w:val="2F5496"/>
      <w:sz w:val="24"/>
      <w:szCs w:val="24"/>
      <w:lang w:eastAsia="en-US"/>
    </w:rPr>
  </w:style>
  <w:style w:type="paragraph" w:styleId="Heading6">
    <w:name w:val="heading 6"/>
    <w:basedOn w:val="Normal"/>
    <w:link w:val="Heading6Char"/>
    <w:uiPriority w:val="9"/>
    <w:semiHidden/>
    <w:unhideWhenUsed/>
    <w:qFormat/>
    <w:rsid w:val="007015E0"/>
    <w:pPr>
      <w:keepNext/>
      <w:numPr>
        <w:ilvl w:val="5"/>
        <w:numId w:val="1"/>
      </w:numPr>
      <w:spacing w:before="40"/>
      <w:outlineLvl w:val="5"/>
    </w:pPr>
    <w:rPr>
      <w:rFonts w:ascii="Calibri Light" w:hAnsi="Calibri Light" w:cs="Calibri Light"/>
      <w:color w:val="1F3763"/>
      <w:sz w:val="24"/>
      <w:szCs w:val="24"/>
      <w:lang w:eastAsia="en-US"/>
    </w:rPr>
  </w:style>
  <w:style w:type="paragraph" w:styleId="Heading7">
    <w:name w:val="heading 7"/>
    <w:basedOn w:val="Normal"/>
    <w:link w:val="Heading7Char"/>
    <w:uiPriority w:val="9"/>
    <w:semiHidden/>
    <w:unhideWhenUsed/>
    <w:qFormat/>
    <w:rsid w:val="007015E0"/>
    <w:pPr>
      <w:keepNext/>
      <w:numPr>
        <w:ilvl w:val="6"/>
        <w:numId w:val="1"/>
      </w:numPr>
      <w:spacing w:before="40"/>
      <w:outlineLvl w:val="6"/>
    </w:pPr>
    <w:rPr>
      <w:rFonts w:ascii="Calibri Light" w:hAnsi="Calibri Light" w:cs="Calibri Light"/>
      <w:i/>
      <w:iCs/>
      <w:color w:val="1F3763"/>
      <w:sz w:val="24"/>
      <w:szCs w:val="24"/>
      <w:lang w:eastAsia="en-US"/>
    </w:rPr>
  </w:style>
  <w:style w:type="paragraph" w:styleId="Heading8">
    <w:name w:val="heading 8"/>
    <w:basedOn w:val="Normal"/>
    <w:link w:val="Heading8Char"/>
    <w:uiPriority w:val="9"/>
    <w:semiHidden/>
    <w:unhideWhenUsed/>
    <w:qFormat/>
    <w:rsid w:val="007015E0"/>
    <w:pPr>
      <w:keepNext/>
      <w:numPr>
        <w:ilvl w:val="7"/>
        <w:numId w:val="1"/>
      </w:numPr>
      <w:spacing w:before="40"/>
      <w:outlineLvl w:val="7"/>
    </w:pPr>
    <w:rPr>
      <w:rFonts w:ascii="Calibri Light" w:hAnsi="Calibri Light" w:cs="Calibri Light"/>
      <w:color w:val="272727"/>
      <w:sz w:val="21"/>
      <w:szCs w:val="21"/>
      <w:lang w:eastAsia="en-US"/>
    </w:rPr>
  </w:style>
  <w:style w:type="paragraph" w:styleId="Heading9">
    <w:name w:val="heading 9"/>
    <w:basedOn w:val="Normal"/>
    <w:link w:val="Heading9Char"/>
    <w:uiPriority w:val="9"/>
    <w:semiHidden/>
    <w:unhideWhenUsed/>
    <w:qFormat/>
    <w:rsid w:val="007015E0"/>
    <w:pPr>
      <w:keepNext/>
      <w:numPr>
        <w:ilvl w:val="8"/>
        <w:numId w:val="1"/>
      </w:numPr>
      <w:spacing w:before="40"/>
      <w:outlineLvl w:val="8"/>
    </w:pPr>
    <w:rPr>
      <w:rFonts w:ascii="Calibri Light" w:hAnsi="Calibri Light" w:cs="Calibri Light"/>
      <w:i/>
      <w:iCs/>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5E0"/>
    <w:rPr>
      <w:rFonts w:ascii="Calibri Light" w:hAnsi="Calibri Light" w:cs="Calibri Light"/>
      <w:color w:val="2F5496"/>
      <w:kern w:val="36"/>
      <w:sz w:val="32"/>
      <w:szCs w:val="32"/>
    </w:rPr>
  </w:style>
  <w:style w:type="character" w:customStyle="1" w:styleId="Heading2Char">
    <w:name w:val="Heading 2 Char"/>
    <w:basedOn w:val="DefaultParagraphFont"/>
    <w:link w:val="Heading2"/>
    <w:uiPriority w:val="9"/>
    <w:semiHidden/>
    <w:rsid w:val="007015E0"/>
    <w:rPr>
      <w:rFonts w:ascii="Calibri Light" w:hAnsi="Calibri Light" w:cs="Calibri Light"/>
      <w:color w:val="2F5496"/>
      <w:sz w:val="26"/>
      <w:szCs w:val="26"/>
    </w:rPr>
  </w:style>
  <w:style w:type="character" w:customStyle="1" w:styleId="Heading3Char">
    <w:name w:val="Heading 3 Char"/>
    <w:basedOn w:val="DefaultParagraphFont"/>
    <w:link w:val="Heading3"/>
    <w:uiPriority w:val="9"/>
    <w:semiHidden/>
    <w:rsid w:val="007015E0"/>
    <w:rPr>
      <w:rFonts w:ascii="Calibri Light" w:hAnsi="Calibri Light" w:cs="Calibri Light"/>
      <w:color w:val="1F3763"/>
      <w:sz w:val="24"/>
      <w:szCs w:val="24"/>
    </w:rPr>
  </w:style>
  <w:style w:type="character" w:customStyle="1" w:styleId="Heading4Char">
    <w:name w:val="Heading 4 Char"/>
    <w:basedOn w:val="DefaultParagraphFont"/>
    <w:link w:val="Heading4"/>
    <w:uiPriority w:val="9"/>
    <w:semiHidden/>
    <w:rsid w:val="007015E0"/>
    <w:rPr>
      <w:rFonts w:ascii="Calibri Light" w:hAnsi="Calibri Light" w:cs="Calibri Light"/>
      <w:i/>
      <w:iCs/>
      <w:color w:val="2F5496"/>
      <w:sz w:val="24"/>
      <w:szCs w:val="24"/>
    </w:rPr>
  </w:style>
  <w:style w:type="character" w:customStyle="1" w:styleId="Heading5Char">
    <w:name w:val="Heading 5 Char"/>
    <w:basedOn w:val="DefaultParagraphFont"/>
    <w:link w:val="Heading5"/>
    <w:uiPriority w:val="9"/>
    <w:semiHidden/>
    <w:rsid w:val="007015E0"/>
    <w:rPr>
      <w:rFonts w:ascii="Calibri Light" w:hAnsi="Calibri Light" w:cs="Calibri Light"/>
      <w:color w:val="2F5496"/>
      <w:sz w:val="24"/>
      <w:szCs w:val="24"/>
    </w:rPr>
  </w:style>
  <w:style w:type="character" w:customStyle="1" w:styleId="Heading6Char">
    <w:name w:val="Heading 6 Char"/>
    <w:basedOn w:val="DefaultParagraphFont"/>
    <w:link w:val="Heading6"/>
    <w:uiPriority w:val="9"/>
    <w:semiHidden/>
    <w:rsid w:val="007015E0"/>
    <w:rPr>
      <w:rFonts w:ascii="Calibri Light" w:hAnsi="Calibri Light" w:cs="Calibri Light"/>
      <w:color w:val="1F3763"/>
      <w:sz w:val="24"/>
      <w:szCs w:val="24"/>
    </w:rPr>
  </w:style>
  <w:style w:type="character" w:customStyle="1" w:styleId="Heading7Char">
    <w:name w:val="Heading 7 Char"/>
    <w:basedOn w:val="DefaultParagraphFont"/>
    <w:link w:val="Heading7"/>
    <w:uiPriority w:val="9"/>
    <w:semiHidden/>
    <w:rsid w:val="007015E0"/>
    <w:rPr>
      <w:rFonts w:ascii="Calibri Light" w:hAnsi="Calibri Light" w:cs="Calibri Light"/>
      <w:i/>
      <w:iCs/>
      <w:color w:val="1F3763"/>
      <w:sz w:val="24"/>
      <w:szCs w:val="24"/>
    </w:rPr>
  </w:style>
  <w:style w:type="character" w:customStyle="1" w:styleId="Heading8Char">
    <w:name w:val="Heading 8 Char"/>
    <w:basedOn w:val="DefaultParagraphFont"/>
    <w:link w:val="Heading8"/>
    <w:uiPriority w:val="9"/>
    <w:semiHidden/>
    <w:rsid w:val="007015E0"/>
    <w:rPr>
      <w:rFonts w:ascii="Calibri Light" w:hAnsi="Calibri Light" w:cs="Calibri Light"/>
      <w:color w:val="272727"/>
      <w:sz w:val="21"/>
      <w:szCs w:val="21"/>
    </w:rPr>
  </w:style>
  <w:style w:type="character" w:customStyle="1" w:styleId="Heading9Char">
    <w:name w:val="Heading 9 Char"/>
    <w:basedOn w:val="DefaultParagraphFont"/>
    <w:link w:val="Heading9"/>
    <w:uiPriority w:val="9"/>
    <w:semiHidden/>
    <w:rsid w:val="007015E0"/>
    <w:rPr>
      <w:rFonts w:ascii="Calibri Light" w:hAnsi="Calibri Light" w:cs="Calibri Light"/>
      <w:i/>
      <w:iCs/>
      <w:color w:val="272727"/>
      <w:sz w:val="21"/>
      <w:szCs w:val="21"/>
    </w:rPr>
  </w:style>
  <w:style w:type="character" w:styleId="Hyperlink">
    <w:name w:val="Hyperlink"/>
    <w:basedOn w:val="DefaultParagraphFont"/>
    <w:uiPriority w:val="99"/>
    <w:semiHidden/>
    <w:unhideWhenUsed/>
    <w:rsid w:val="007015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54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cmje.org/recommendations/browse/roles-and-responsibilities/defining-the-role-of-authors-and-contributo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Meadows</dc:creator>
  <cp:keywords/>
  <dc:description/>
  <cp:lastModifiedBy>Claire Meadows</cp:lastModifiedBy>
  <cp:revision>1</cp:revision>
  <dcterms:created xsi:type="dcterms:W3CDTF">2023-09-14T10:47:00Z</dcterms:created>
  <dcterms:modified xsi:type="dcterms:W3CDTF">2023-09-14T10:47:00Z</dcterms:modified>
</cp:coreProperties>
</file>